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13820695"/>
    <w:bookmarkStart w:id="1" w:name="_Toc514059668"/>
    <w:bookmarkStart w:id="2" w:name="_Toc514059669"/>
    <w:p w14:paraId="59E5FBD1" w14:textId="0BDBAA10" w:rsidR="008901D5" w:rsidRPr="00492A50" w:rsidRDefault="009F2104" w:rsidP="008901D5">
      <w:pPr>
        <w:pStyle w:val="Title"/>
        <w:rPr>
          <w:rFonts w:cstheme="majorHAnsi"/>
        </w:rPr>
      </w:pPr>
      <w:sdt>
        <w:sdtPr>
          <w:rPr>
            <w:rFonts w:cstheme="majorHAnsi"/>
          </w:rPr>
          <w:id w:val="-1591768250"/>
          <w:placeholder>
            <w:docPart w:val="BDC37EE0DDED4E909C0BC696183B0425"/>
          </w:placeholder>
          <w:dataBinding w:prefixMappings="xmlns:ns0='http://purl.org/dc/elements/1.1/' xmlns:ns1='http://schemas.openxmlformats.org/package/2006/metadata/core-properties' " w:xpath="/ns1:coreProperties[1]/ns0:title[1]" w:storeItemID="{6C3C8BC8-F283-45AE-878A-BAB7291924A1}"/>
          <w:text/>
        </w:sdtPr>
        <w:sdtEndPr/>
        <w:sdtContent>
          <w:r w:rsidR="00BF0258" w:rsidRPr="00BF0258">
            <w:rPr>
              <w:rFonts w:cstheme="majorHAnsi"/>
            </w:rPr>
            <w:t xml:space="preserve">Public </w:t>
          </w:r>
          <w:r w:rsidR="00BF0258">
            <w:rPr>
              <w:rFonts w:cstheme="majorHAnsi"/>
            </w:rPr>
            <w:t>s</w:t>
          </w:r>
          <w:r w:rsidR="00BF0258" w:rsidRPr="00BF0258">
            <w:rPr>
              <w:rFonts w:cstheme="majorHAnsi"/>
            </w:rPr>
            <w:t xml:space="preserve">afety </w:t>
          </w:r>
          <w:r w:rsidR="00BF0258">
            <w:rPr>
              <w:rFonts w:cstheme="majorHAnsi"/>
            </w:rPr>
            <w:t>h</w:t>
          </w:r>
          <w:r w:rsidR="00BF0258" w:rsidRPr="00BF0258">
            <w:rPr>
              <w:rFonts w:cstheme="majorHAnsi"/>
            </w:rPr>
            <w:t xml:space="preserve">ealth </w:t>
          </w:r>
          <w:r w:rsidR="00BF0258">
            <w:rPr>
              <w:rFonts w:cstheme="majorHAnsi"/>
            </w:rPr>
            <w:t>and</w:t>
          </w:r>
          <w:r w:rsidR="00BF0258" w:rsidRPr="00BF0258">
            <w:rPr>
              <w:rFonts w:cstheme="majorHAnsi"/>
            </w:rPr>
            <w:t xml:space="preserve"> </w:t>
          </w:r>
          <w:r w:rsidR="00BF0258">
            <w:rPr>
              <w:rFonts w:cstheme="majorHAnsi"/>
            </w:rPr>
            <w:t>s</w:t>
          </w:r>
          <w:r w:rsidR="00BF0258" w:rsidRPr="00BF0258">
            <w:rPr>
              <w:rFonts w:cstheme="majorHAnsi"/>
            </w:rPr>
            <w:t xml:space="preserve">afety </w:t>
          </w:r>
          <w:r w:rsidR="00BF0258">
            <w:rPr>
              <w:rFonts w:cstheme="majorHAnsi"/>
            </w:rPr>
            <w:t>g</w:t>
          </w:r>
          <w:r w:rsidR="00BF0258" w:rsidRPr="00BF0258">
            <w:rPr>
              <w:rFonts w:cstheme="majorHAnsi"/>
            </w:rPr>
            <w:t xml:space="preserve">uidelines for </w:t>
          </w:r>
          <w:r w:rsidR="00BF0258">
            <w:rPr>
              <w:rFonts w:cstheme="majorHAnsi"/>
            </w:rPr>
            <w:t>i</w:t>
          </w:r>
          <w:r w:rsidR="00BF0258" w:rsidRPr="00BF0258">
            <w:rPr>
              <w:rFonts w:cstheme="majorHAnsi"/>
            </w:rPr>
            <w:t xml:space="preserve">nspecting </w:t>
          </w:r>
          <w:r w:rsidR="00BF0258">
            <w:rPr>
              <w:rFonts w:cstheme="majorHAnsi"/>
            </w:rPr>
            <w:t>o</w:t>
          </w:r>
          <w:r w:rsidR="00BF0258" w:rsidRPr="00BF0258">
            <w:rPr>
              <w:rFonts w:cstheme="majorHAnsi"/>
            </w:rPr>
            <w:t xml:space="preserve">rganisations and </w:t>
          </w:r>
          <w:r w:rsidR="00BF0258">
            <w:rPr>
              <w:rFonts w:cstheme="majorHAnsi"/>
            </w:rPr>
            <w:t>v</w:t>
          </w:r>
          <w:r w:rsidR="00BF0258" w:rsidRPr="00BF0258">
            <w:rPr>
              <w:rFonts w:cstheme="majorHAnsi"/>
            </w:rPr>
            <w:t xml:space="preserve">ehicle </w:t>
          </w:r>
          <w:r w:rsidR="00BF0258">
            <w:rPr>
              <w:rFonts w:cstheme="majorHAnsi"/>
            </w:rPr>
            <w:t>i</w:t>
          </w:r>
          <w:r w:rsidR="00BF0258" w:rsidRPr="00BF0258">
            <w:rPr>
              <w:rFonts w:cstheme="majorHAnsi"/>
            </w:rPr>
            <w:t>nspectors</w:t>
          </w:r>
        </w:sdtContent>
      </w:sdt>
      <w:bookmarkEnd w:id="0"/>
      <w:bookmarkEnd w:id="1"/>
    </w:p>
    <w:sdt>
      <w:sdtPr>
        <w:rPr>
          <w:rFonts w:asciiTheme="majorHAnsi" w:hAnsiTheme="majorHAnsi" w:cstheme="majorHAnsi"/>
        </w:rPr>
        <w:id w:val="500785919"/>
        <w:placeholder>
          <w:docPart w:val="5BA263040DC043878AFD52EAC20406FA"/>
        </w:placeholder>
        <w:date w:fullDate="2021-08-01T00:00:00Z">
          <w:dateFormat w:val="MMMM yyyy"/>
          <w:lid w:val="en-US"/>
          <w:storeMappedDataAs w:val="dateTime"/>
          <w:calendar w:val="gregorian"/>
        </w:date>
      </w:sdtPr>
      <w:sdtEndPr/>
      <w:sdtContent>
        <w:p w14:paraId="0F220F2B" w14:textId="18E6BA14" w:rsidR="008901D5" w:rsidRPr="00492A50" w:rsidRDefault="00BF0258" w:rsidP="008901D5">
          <w:pPr>
            <w:pStyle w:val="Details"/>
            <w:rPr>
              <w:rFonts w:asciiTheme="majorHAnsi" w:hAnsiTheme="majorHAnsi" w:cstheme="majorHAnsi"/>
            </w:rPr>
          </w:pPr>
          <w:r>
            <w:rPr>
              <w:rFonts w:asciiTheme="majorHAnsi" w:hAnsiTheme="majorHAnsi" w:cstheme="majorHAnsi"/>
              <w:lang w:val="en-US"/>
            </w:rPr>
            <w:t>August 2021</w:t>
          </w:r>
        </w:p>
      </w:sdtContent>
    </w:sdt>
    <w:p w14:paraId="4A48C0D0" w14:textId="77777777" w:rsidR="00BF0258" w:rsidRPr="00BF0258" w:rsidRDefault="00BF0258" w:rsidP="00BF0258">
      <w:pPr>
        <w:pStyle w:val="Heading2"/>
      </w:pPr>
      <w:r w:rsidRPr="00BF0258">
        <w:t xml:space="preserve">Introduction </w:t>
      </w:r>
    </w:p>
    <w:p w14:paraId="6419D7C2" w14:textId="77777777" w:rsidR="00BF0258" w:rsidRPr="00BF0258" w:rsidRDefault="00BF0258" w:rsidP="00BF0258">
      <w:r w:rsidRPr="00BF0258">
        <w:t xml:space="preserve">Within the Inspecting Organisation and Vehicle Inspector Notices of Appointment, there are obligations for workplace health and safety including risk management.  There has been feedback at Industry forums that there is a need for a consistent approach for public and customer safety within and around the workplaces of inspecting organisations.  </w:t>
      </w:r>
    </w:p>
    <w:p w14:paraId="4E771268" w14:textId="77777777" w:rsidR="00BF0258" w:rsidRPr="00BF0258" w:rsidRDefault="00BF0258" w:rsidP="00BF0258">
      <w:r w:rsidRPr="00BF0258">
        <w:t>These guidelines have been developed by Waka Kotahi on behalf of, and in consultation with, industry representatives. They outline the expected risk management approach to ensure a consistent customer experience at inspecting organisations.  However, every workplace is different, and each business is responsible for putting in place effective risk management for their operation.</w:t>
      </w:r>
    </w:p>
    <w:p w14:paraId="4909ECF5" w14:textId="77777777" w:rsidR="00BF0258" w:rsidRPr="00BF0258" w:rsidRDefault="00BF0258" w:rsidP="00BF0258">
      <w:pPr>
        <w:pStyle w:val="Heading2"/>
      </w:pPr>
      <w:r w:rsidRPr="00BF0258">
        <w:t>Legislation</w:t>
      </w:r>
      <w:bookmarkStart w:id="3" w:name="_GoBack"/>
      <w:bookmarkEnd w:id="3"/>
    </w:p>
    <w:p w14:paraId="1CD4504B" w14:textId="77777777" w:rsidR="00BF0258" w:rsidRPr="00BF0258" w:rsidRDefault="00BF0258" w:rsidP="00BF0258">
      <w:r w:rsidRPr="00BF0258">
        <w:t>The Health and Safety at Work Act 2015 outlines the responsibilities for workplace health and safety.  Businesses (Persons Conducting a Business or Undertaking – PCBU) have the primary responsibility for ensuring the health and safety of workers.  The PCBU must also look after others who could be put at risk at or near a workplace including customers, visitors and the general public.</w:t>
      </w:r>
    </w:p>
    <w:p w14:paraId="18190632" w14:textId="77777777" w:rsidR="00BF0258" w:rsidRPr="00BF0258" w:rsidRDefault="00BF0258" w:rsidP="00BF0258">
      <w:r w:rsidRPr="00BF0258">
        <w:t>Risks that arise from work must be eliminated so far as is reasonably practicable.  If a risk can’t be eliminated it must be minimised so far as is reasonably practicable.</w:t>
      </w:r>
    </w:p>
    <w:p w14:paraId="130F6171" w14:textId="77777777" w:rsidR="00BF0258" w:rsidRPr="00BF0258" w:rsidRDefault="00BF0258" w:rsidP="00BF0258">
      <w:pPr>
        <w:pStyle w:val="Heading2"/>
      </w:pPr>
      <w:r w:rsidRPr="00BF0258">
        <w:t>Management of Public &amp; Customer Safety</w:t>
      </w:r>
    </w:p>
    <w:p w14:paraId="5019E525" w14:textId="77777777" w:rsidR="00BF0258" w:rsidRPr="00BF0258" w:rsidRDefault="00BF0258" w:rsidP="00BF0258">
      <w:r w:rsidRPr="00BF0258">
        <w:t xml:space="preserve">To prevent customers or members of the public being exposed to workplace hazards, it is important to review the safe access and security of the workshop, office, testing lanes, compound, reception, toilet facilities and emergency exits.  </w:t>
      </w:r>
    </w:p>
    <w:p w14:paraId="0C78A605" w14:textId="77777777" w:rsidR="00BF0258" w:rsidRPr="00BF0258" w:rsidRDefault="00BF0258" w:rsidP="00BF0258">
      <w:r w:rsidRPr="00BF0258">
        <w:t>Focus on the critical risks first before managing less serious risks, and review work activities on an ongoing basis to identify any new risks that need to be managed.  Select the most effective control measures that are proportionate to the risk and appropriate for the work situation. Workers should also be asked for input to identify risks and implementing solutions.</w:t>
      </w:r>
    </w:p>
    <w:p w14:paraId="0B85BEAC" w14:textId="77777777" w:rsidR="00BF0258" w:rsidRPr="00BF0258" w:rsidRDefault="00BF0258" w:rsidP="00BF0258">
      <w:pPr>
        <w:pStyle w:val="BlueTextIndent"/>
      </w:pPr>
      <w:r w:rsidRPr="00BF0258">
        <w:t xml:space="preserve">For further information on risk management see </w:t>
      </w:r>
      <w:hyperlink r:id="rId8" w:history="1">
        <w:proofErr w:type="spellStart"/>
        <w:r w:rsidRPr="00BF0258">
          <w:rPr>
            <w:rStyle w:val="Hyperlink"/>
          </w:rPr>
          <w:t>Worksafe</w:t>
        </w:r>
        <w:proofErr w:type="spellEnd"/>
        <w:r w:rsidRPr="00BF0258">
          <w:rPr>
            <w:rStyle w:val="Hyperlink"/>
          </w:rPr>
          <w:t xml:space="preserve"> guidance</w:t>
        </w:r>
      </w:hyperlink>
    </w:p>
    <w:p w14:paraId="24F09072" w14:textId="77777777" w:rsidR="00BF0258" w:rsidRPr="00BF0258" w:rsidRDefault="00BF0258" w:rsidP="00BF0258">
      <w:r w:rsidRPr="00BF0258">
        <w:t>The following are examples of possible health and safety risks and guidance for management:</w:t>
      </w:r>
    </w:p>
    <w:p w14:paraId="3BE23597" w14:textId="77777777" w:rsidR="00BF0258" w:rsidRPr="00BF0258" w:rsidRDefault="00BF0258" w:rsidP="00BF0258">
      <w:pPr>
        <w:pStyle w:val="Heading3"/>
      </w:pPr>
      <w:r w:rsidRPr="00BF0258">
        <w:t>Moving vehicles</w:t>
      </w:r>
    </w:p>
    <w:p w14:paraId="702EA2F7" w14:textId="77777777" w:rsidR="00BF0258" w:rsidRPr="00BF0258" w:rsidRDefault="00BF0258" w:rsidP="00BF0258">
      <w:r w:rsidRPr="00BF0258">
        <w:t>Develop a traffic management plan for the site that allows for the safe movement of vehicles around and through the site.  Wherever possible, keep pedestrians and moving vehicles apart.  Consider:</w:t>
      </w:r>
    </w:p>
    <w:p w14:paraId="482ED803" w14:textId="77777777" w:rsidR="00BF0258" w:rsidRPr="00BF0258" w:rsidRDefault="00BF0258" w:rsidP="00BF0258">
      <w:pPr>
        <w:numPr>
          <w:ilvl w:val="0"/>
          <w:numId w:val="33"/>
        </w:numPr>
      </w:pPr>
      <w:r w:rsidRPr="00BF0258">
        <w:t>Clear parking areas that do not encroach on testing lanes and workshop entrances</w:t>
      </w:r>
    </w:p>
    <w:p w14:paraId="4821D5B6" w14:textId="77777777" w:rsidR="00BF0258" w:rsidRPr="00BF0258" w:rsidRDefault="00BF0258" w:rsidP="00BF0258">
      <w:pPr>
        <w:numPr>
          <w:ilvl w:val="0"/>
          <w:numId w:val="33"/>
        </w:numPr>
      </w:pPr>
      <w:r w:rsidRPr="00BF0258">
        <w:t>Areas of poor visibility – are there any blind spots, tight corners etc?</w:t>
      </w:r>
    </w:p>
    <w:p w14:paraId="5510932A" w14:textId="77777777" w:rsidR="00BF0258" w:rsidRPr="00BF0258" w:rsidRDefault="00BF0258" w:rsidP="00BF0258">
      <w:pPr>
        <w:numPr>
          <w:ilvl w:val="0"/>
          <w:numId w:val="33"/>
        </w:numPr>
      </w:pPr>
      <w:r w:rsidRPr="00BF0258">
        <w:t>Defined walkways and outdoor areas for customers.  Use barriers or guardrails to stop pedestrians entering vehicle areas</w:t>
      </w:r>
    </w:p>
    <w:p w14:paraId="77EA893F" w14:textId="77777777" w:rsidR="00BF0258" w:rsidRPr="00BF0258" w:rsidRDefault="00BF0258" w:rsidP="00BF0258">
      <w:pPr>
        <w:numPr>
          <w:ilvl w:val="0"/>
          <w:numId w:val="33"/>
        </w:numPr>
      </w:pPr>
      <w:r w:rsidRPr="00BF0258">
        <w:t>Separate entrances and exits for pedestrians and vehicles</w:t>
      </w:r>
    </w:p>
    <w:p w14:paraId="7BA031AA" w14:textId="77777777" w:rsidR="00BF0258" w:rsidRPr="00BF0258" w:rsidRDefault="00BF0258" w:rsidP="00BF0258">
      <w:pPr>
        <w:numPr>
          <w:ilvl w:val="0"/>
          <w:numId w:val="33"/>
        </w:numPr>
      </w:pPr>
      <w:r w:rsidRPr="00BF0258">
        <w:lastRenderedPageBreak/>
        <w:t>Maximum speed limit based on worksite and industry accepted limits.  10 km/h suggested maximum.  Consider how speed limits will be monitored and enforced plus measures such as speed cushions and rumble strips to reduce speeds on site.</w:t>
      </w:r>
    </w:p>
    <w:p w14:paraId="4B9E49A8" w14:textId="77777777" w:rsidR="00BF0258" w:rsidRPr="00BF0258" w:rsidRDefault="00BF0258" w:rsidP="00BF0258">
      <w:pPr>
        <w:numPr>
          <w:ilvl w:val="0"/>
          <w:numId w:val="33"/>
        </w:numPr>
      </w:pPr>
      <w:r w:rsidRPr="00BF0258">
        <w:t>Maintenance of painted markings and signage</w:t>
      </w:r>
    </w:p>
    <w:p w14:paraId="127C9876" w14:textId="77777777" w:rsidR="00BF0258" w:rsidRPr="00BF0258" w:rsidRDefault="00BF0258" w:rsidP="00BF0258">
      <w:pPr>
        <w:pStyle w:val="BlueTextIndent"/>
      </w:pPr>
      <w:r w:rsidRPr="00BF0258">
        <w:t xml:space="preserve">For further information, see </w:t>
      </w:r>
      <w:hyperlink r:id="rId9" w:history="1">
        <w:proofErr w:type="spellStart"/>
        <w:r w:rsidRPr="00BF0258">
          <w:rPr>
            <w:rStyle w:val="Hyperlink"/>
          </w:rPr>
          <w:t>Worksafe</w:t>
        </w:r>
        <w:proofErr w:type="spellEnd"/>
        <w:r w:rsidRPr="00BF0258">
          <w:rPr>
            <w:rStyle w:val="Hyperlink"/>
          </w:rPr>
          <w:t xml:space="preserve"> guide on managing work site traffic</w:t>
        </w:r>
      </w:hyperlink>
    </w:p>
    <w:p w14:paraId="61787F98" w14:textId="0AD2F833" w:rsidR="00BF0258" w:rsidRPr="00BF0258" w:rsidRDefault="00BF0258" w:rsidP="00BF0258">
      <w:pPr>
        <w:pStyle w:val="Heading3"/>
      </w:pPr>
      <w:r w:rsidRPr="00BF0258">
        <w:t xml:space="preserve">Workshops </w:t>
      </w:r>
      <w:r>
        <w:t>and</w:t>
      </w:r>
      <w:r w:rsidRPr="00BF0258">
        <w:t xml:space="preserve"> Testing Lanes</w:t>
      </w:r>
    </w:p>
    <w:p w14:paraId="66C3D105" w14:textId="77777777" w:rsidR="00BF0258" w:rsidRPr="00BF0258" w:rsidRDefault="00BF0258" w:rsidP="00BF0258">
      <w:r w:rsidRPr="00BF0258">
        <w:t xml:space="preserve">Restrict access to the workshop or testing lanes to </w:t>
      </w:r>
      <w:r w:rsidRPr="00BF0258">
        <w:rPr>
          <w:b/>
          <w:bCs/>
        </w:rPr>
        <w:t>workers only</w:t>
      </w:r>
      <w:r w:rsidRPr="00BF0258">
        <w:t xml:space="preserve"> through:</w:t>
      </w:r>
    </w:p>
    <w:p w14:paraId="01368EC0" w14:textId="77777777" w:rsidR="00BF0258" w:rsidRPr="00BF0258" w:rsidRDefault="00BF0258" w:rsidP="00BF0258">
      <w:pPr>
        <w:numPr>
          <w:ilvl w:val="0"/>
          <w:numId w:val="32"/>
        </w:numPr>
      </w:pPr>
      <w:r w:rsidRPr="00BF0258">
        <w:t>Signage at all entrances warning of risks and no unauthorised access.  This should direct visitors to the office/reception area.  Ensure the access doors between reception and workshops are marked Staff Only and are monitored by reception staff.</w:t>
      </w:r>
    </w:p>
    <w:p w14:paraId="250F1EBD" w14:textId="77777777" w:rsidR="00BF0258" w:rsidRPr="00BF0258" w:rsidRDefault="00BF0258" w:rsidP="00BF0258">
      <w:pPr>
        <w:numPr>
          <w:ilvl w:val="0"/>
          <w:numId w:val="32"/>
        </w:numPr>
      </w:pPr>
      <w:r w:rsidRPr="00BF0258">
        <w:t>Where possible use a barrier, chain or cone at each workshop entrance to impede unauthorised areas</w:t>
      </w:r>
    </w:p>
    <w:p w14:paraId="501AFAF9" w14:textId="77777777" w:rsidR="00BF0258" w:rsidRPr="00BF0258" w:rsidRDefault="00BF0258" w:rsidP="00BF0258">
      <w:pPr>
        <w:numPr>
          <w:ilvl w:val="0"/>
          <w:numId w:val="32"/>
        </w:numPr>
      </w:pPr>
      <w:r w:rsidRPr="00BF0258">
        <w:t>Workers should be alert to unauthorised access and approach and escort visitors from restricted areas</w:t>
      </w:r>
    </w:p>
    <w:p w14:paraId="361AFE48" w14:textId="77777777" w:rsidR="00BF0258" w:rsidRPr="00BF0258" w:rsidRDefault="00BF0258" w:rsidP="00BF0258">
      <w:r w:rsidRPr="00BF0258">
        <w:t>For trucks and large vehicles, wherever possible the vehicle inspector should be in charge of the vehicle while the driver stays in the waiting area.  When this is not possible, the driver is to remain in the cab of the vehicle unless escorted to and from a safe zone by the inspector.</w:t>
      </w:r>
    </w:p>
    <w:p w14:paraId="4499EDD1" w14:textId="77777777" w:rsidR="00BF0258" w:rsidRPr="00BF0258" w:rsidRDefault="00BF0258" w:rsidP="00BF0258">
      <w:r w:rsidRPr="00BF0258">
        <w:t>When it is necessary to show a customer any vehicle issues, consider the use of photographs or videos in the first instance. Any access by customers to and from these restricted areas will require:</w:t>
      </w:r>
    </w:p>
    <w:p w14:paraId="604546B6" w14:textId="77777777" w:rsidR="00BF0258" w:rsidRPr="00BF0258" w:rsidRDefault="00BF0258" w:rsidP="00BF0258">
      <w:pPr>
        <w:numPr>
          <w:ilvl w:val="0"/>
          <w:numId w:val="34"/>
        </w:numPr>
      </w:pPr>
      <w:r w:rsidRPr="00BF0258">
        <w:t>completion of a customer worksite induction</w:t>
      </w:r>
    </w:p>
    <w:p w14:paraId="5CB6A183" w14:textId="77777777" w:rsidR="00BF0258" w:rsidRPr="00BF0258" w:rsidRDefault="00BF0258" w:rsidP="00BF0258">
      <w:pPr>
        <w:numPr>
          <w:ilvl w:val="0"/>
          <w:numId w:val="34"/>
        </w:numPr>
      </w:pPr>
      <w:r w:rsidRPr="00BF0258">
        <w:t>wearing hi-vis vest and sturdy covered footwear</w:t>
      </w:r>
    </w:p>
    <w:p w14:paraId="655EFFEB" w14:textId="77777777" w:rsidR="00BF0258" w:rsidRPr="00BF0258" w:rsidRDefault="00BF0258" w:rsidP="00BF0258">
      <w:pPr>
        <w:numPr>
          <w:ilvl w:val="0"/>
          <w:numId w:val="34"/>
        </w:numPr>
      </w:pPr>
      <w:r w:rsidRPr="00BF0258">
        <w:t>escort to and from the restricted area by the inspector</w:t>
      </w:r>
    </w:p>
    <w:p w14:paraId="088CD8B4" w14:textId="77777777" w:rsidR="00BF0258" w:rsidRPr="00BF0258" w:rsidRDefault="00BF0258" w:rsidP="00BF0258">
      <w:pPr>
        <w:pStyle w:val="Heading2"/>
      </w:pPr>
      <w:r w:rsidRPr="00BF0258">
        <w:t>Management of Contractors and other PCBUs</w:t>
      </w:r>
    </w:p>
    <w:p w14:paraId="1E622E4F" w14:textId="77777777" w:rsidR="00BF0258" w:rsidRPr="00BF0258" w:rsidRDefault="00BF0258" w:rsidP="00BF0258">
      <w:r w:rsidRPr="00BF0258">
        <w:t>All PCBUs have a duty under section 34 of the Health and Safety at Work Act 2015 to consult, cooperate and coordinate with each other to ensure the safety of everyone.  Contractors should be inducted to your worksite and made aware of the health and safety requirements onsite.  Contractors should report to reception every time they visit and sign in and out.  Manage any non-compliance through reinforcing health and safety expectations.</w:t>
      </w:r>
    </w:p>
    <w:p w14:paraId="37975A07" w14:textId="77777777" w:rsidR="00BF0258" w:rsidRPr="00BF0258" w:rsidRDefault="00BF0258" w:rsidP="00BF0258">
      <w:pPr>
        <w:pStyle w:val="BlueTextIndent"/>
        <w:rPr>
          <w:u w:val="single"/>
        </w:rPr>
      </w:pPr>
      <w:r w:rsidRPr="00BF0258">
        <w:t xml:space="preserve">For further information on contractors see </w:t>
      </w:r>
      <w:hyperlink r:id="rId10" w:history="1">
        <w:proofErr w:type="spellStart"/>
        <w:r w:rsidRPr="00BF0258">
          <w:rPr>
            <w:rStyle w:val="Hyperlink"/>
          </w:rPr>
          <w:t>Worksafe</w:t>
        </w:r>
        <w:proofErr w:type="spellEnd"/>
        <w:r w:rsidRPr="00BF0258">
          <w:rPr>
            <w:rStyle w:val="Hyperlink"/>
          </w:rPr>
          <w:t xml:space="preserve"> guidance</w:t>
        </w:r>
      </w:hyperlink>
    </w:p>
    <w:p w14:paraId="44658367" w14:textId="77777777" w:rsidR="00BF0258" w:rsidRPr="00BF0258" w:rsidRDefault="00BF0258" w:rsidP="00BF0258">
      <w:pPr>
        <w:pStyle w:val="Heading2"/>
      </w:pPr>
      <w:r w:rsidRPr="00BF0258">
        <w:t>Working with other PCBUs in shared or neighbouring sites</w:t>
      </w:r>
    </w:p>
    <w:p w14:paraId="056EDD7D" w14:textId="77777777" w:rsidR="00BF0258" w:rsidRPr="00BF0258" w:rsidRDefault="00BF0258" w:rsidP="00BF0258">
      <w:r w:rsidRPr="00BF0258">
        <w:t>All PCBUs are required so far as reasonably practicable to consult, cooperate and coordinate with each other about the duties they share in relation to the same matter.  These overlapping duties could include responsibilities for site access and maintenance.   Together the PCBUs should identify the health and safety risks, plan and agree on controls, responsibilities and roles and monitor to ensure the arrangements are working.</w:t>
      </w:r>
    </w:p>
    <w:p w14:paraId="0933BA70" w14:textId="77777777" w:rsidR="00BF0258" w:rsidRPr="00BF0258" w:rsidRDefault="00BF0258" w:rsidP="00BF0258">
      <w:pPr>
        <w:pStyle w:val="BlueTextIndent"/>
        <w:rPr>
          <w:u w:val="single"/>
        </w:rPr>
      </w:pPr>
      <w:r w:rsidRPr="00BF0258">
        <w:t xml:space="preserve">For further information on overlapping duties see </w:t>
      </w:r>
      <w:hyperlink r:id="rId11" w:history="1">
        <w:proofErr w:type="spellStart"/>
        <w:r w:rsidRPr="00BF0258">
          <w:rPr>
            <w:rStyle w:val="Hyperlink"/>
          </w:rPr>
          <w:t>Worksafe</w:t>
        </w:r>
        <w:proofErr w:type="spellEnd"/>
        <w:r w:rsidRPr="00BF0258">
          <w:rPr>
            <w:rStyle w:val="Hyperlink"/>
          </w:rPr>
          <w:t xml:space="preserve"> guidance</w:t>
        </w:r>
      </w:hyperlink>
    </w:p>
    <w:p w14:paraId="20840CBE" w14:textId="77777777" w:rsidR="00BF0258" w:rsidRPr="00BF0258" w:rsidRDefault="00BF0258" w:rsidP="00BF0258">
      <w:pPr>
        <w:pStyle w:val="Heading2"/>
      </w:pPr>
      <w:r w:rsidRPr="00BF0258">
        <w:t>Further Information</w:t>
      </w:r>
    </w:p>
    <w:p w14:paraId="04E99564" w14:textId="77777777" w:rsidR="00BF0258" w:rsidRPr="00BF0258" w:rsidRDefault="00BF0258" w:rsidP="00BF0258">
      <w:r w:rsidRPr="00BF0258">
        <w:t xml:space="preserve">WorkSafe New Zealand – </w:t>
      </w:r>
      <w:hyperlink r:id="rId12" w:history="1">
        <w:r w:rsidRPr="00BF0258">
          <w:rPr>
            <w:rStyle w:val="Hyperlink"/>
          </w:rPr>
          <w:t>www.worksafe.govt.nz</w:t>
        </w:r>
      </w:hyperlink>
      <w:r w:rsidRPr="00BF0258">
        <w:t xml:space="preserve"> </w:t>
      </w:r>
    </w:p>
    <w:p w14:paraId="1014D1EE" w14:textId="77777777" w:rsidR="00BF0258" w:rsidRPr="00BF0258" w:rsidRDefault="009F2104" w:rsidP="00BF0258">
      <w:pPr>
        <w:numPr>
          <w:ilvl w:val="0"/>
          <w:numId w:val="36"/>
        </w:numPr>
      </w:pPr>
      <w:hyperlink r:id="rId13" w:history="1">
        <w:r w:rsidR="00BF0258" w:rsidRPr="00BF0258">
          <w:rPr>
            <w:rStyle w:val="Hyperlink"/>
          </w:rPr>
          <w:t>Managing work site traffic – Good practice guidelines</w:t>
        </w:r>
      </w:hyperlink>
    </w:p>
    <w:p w14:paraId="09C65E92" w14:textId="77777777" w:rsidR="00BF0258" w:rsidRPr="00BF0258" w:rsidRDefault="00BF0258" w:rsidP="00BF0258">
      <w:r w:rsidRPr="00BF0258">
        <w:t>Safe Work Australia</w:t>
      </w:r>
    </w:p>
    <w:p w14:paraId="46805ADD" w14:textId="16AA7070" w:rsidR="00BF0258" w:rsidRDefault="009F2104" w:rsidP="00BF0258">
      <w:pPr>
        <w:numPr>
          <w:ilvl w:val="0"/>
          <w:numId w:val="35"/>
        </w:numPr>
      </w:pPr>
      <w:hyperlink r:id="rId14" w:history="1">
        <w:r w:rsidR="00BF0258" w:rsidRPr="00BF0258">
          <w:rPr>
            <w:rStyle w:val="Hyperlink"/>
          </w:rPr>
          <w:t>Workplace traffic management guidance material</w:t>
        </w:r>
      </w:hyperlink>
    </w:p>
    <w:bookmarkEnd w:id="2"/>
    <w:sectPr w:rsidR="00BF0258" w:rsidSect="00BF0258">
      <w:headerReference w:type="even" r:id="rId15"/>
      <w:headerReference w:type="default" r:id="rId16"/>
      <w:footerReference w:type="even" r:id="rId17"/>
      <w:footerReference w:type="default" r:id="rId18"/>
      <w:headerReference w:type="first" r:id="rId19"/>
      <w:footerReference w:type="first" r:id="rId20"/>
      <w:pgSz w:w="11906" w:h="16838"/>
      <w:pgMar w:top="993" w:right="1247" w:bottom="1560" w:left="124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CD0B9" w14:textId="77777777" w:rsidR="00BF0258" w:rsidRDefault="00BF0258" w:rsidP="002A6A89">
      <w:pPr>
        <w:spacing w:after="0" w:line="240" w:lineRule="auto"/>
      </w:pPr>
      <w:r>
        <w:separator/>
      </w:r>
    </w:p>
  </w:endnote>
  <w:endnote w:type="continuationSeparator" w:id="0">
    <w:p w14:paraId="0C7F2131" w14:textId="77777777" w:rsidR="00BF0258" w:rsidRDefault="00BF0258"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30E89" w14:textId="77777777" w:rsidR="00BF0258" w:rsidRDefault="00BF0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DD7C7" w14:textId="77777777" w:rsidR="00D44EA8" w:rsidRPr="00245A46" w:rsidRDefault="00D44EA8" w:rsidP="00D44EA8">
    <w:pPr>
      <w:pStyle w:val="Footer2"/>
    </w:pPr>
  </w:p>
  <w:p w14:paraId="693BAACF" w14:textId="1E26C166" w:rsidR="00D407A5" w:rsidRPr="00D44EA8" w:rsidRDefault="00D44EA8" w:rsidP="00BF0258">
    <w:pPr>
      <w:pStyle w:val="Footer2"/>
      <w:jc w:val="right"/>
      <w:rPr>
        <w:szCs w:val="16"/>
      </w:rPr>
    </w:pPr>
    <w:r w:rsidRPr="00245A46">
      <w:rPr>
        <w:b/>
        <w:bCs/>
        <w:szCs w:val="16"/>
      </w:rPr>
      <w:t>Waka Kotahi</w:t>
    </w:r>
    <w:r w:rsidRPr="00245A46">
      <w:rPr>
        <w:szCs w:val="16"/>
      </w:rPr>
      <w:t xml:space="preserve"> NZ Transport Agency</w:t>
    </w:r>
    <w:r w:rsidRPr="00245A46">
      <w:rPr>
        <w:szCs w:val="16"/>
      </w:rPr>
      <w:tab/>
    </w:r>
    <w:r w:rsidR="00BF0258">
      <w:rPr>
        <w:szCs w:val="16"/>
      </w:rPr>
      <w:tab/>
    </w:r>
    <w:r w:rsidRPr="00245A46">
      <w:rPr>
        <w:szCs w:val="16"/>
      </w:rPr>
      <w:tab/>
    </w:r>
    <w:r w:rsidRPr="00245A46">
      <w:rPr>
        <w:szCs w:val="16"/>
      </w:rPr>
      <w:tab/>
    </w:r>
    <w:r w:rsidRPr="00245A46">
      <w:rPr>
        <w:szCs w:val="16"/>
      </w:rPr>
      <w:tab/>
    </w:r>
    <w:r w:rsidRPr="00245A46">
      <w:rPr>
        <w:szCs w:val="16"/>
      </w:rPr>
      <w:tab/>
    </w:r>
    <w:r w:rsidRPr="00245A46">
      <w:rPr>
        <w:szCs w:val="16"/>
      </w:rPr>
      <w:tab/>
    </w:r>
    <w:sdt>
      <w:sdtPr>
        <w:rPr>
          <w:szCs w:val="16"/>
        </w:rPr>
        <w:alias w:val="Title"/>
        <w:tag w:val=""/>
        <w:id w:val="1008027990"/>
        <w:dataBinding w:prefixMappings="xmlns:ns0='http://purl.org/dc/elements/1.1/' xmlns:ns1='http://schemas.openxmlformats.org/package/2006/metadata/core-properties' " w:xpath="/ns1:coreProperties[1]/ns0:title[1]" w:storeItemID="{6C3C8BC8-F283-45AE-878A-BAB7291924A1}"/>
        <w:text/>
      </w:sdtPr>
      <w:sdtEndPr/>
      <w:sdtContent>
        <w:r w:rsidR="00BF0258">
          <w:rPr>
            <w:szCs w:val="16"/>
          </w:rPr>
          <w:t>Public safety health and safety guidelines for inspecting organisations and vehicle inspectors</w:t>
        </w:r>
      </w:sdtContent>
    </w:sdt>
    <w:r w:rsidRPr="00245A46">
      <w:rPr>
        <w:szCs w:val="16"/>
      </w:rPr>
      <w:t xml:space="preserve"> </w:t>
    </w:r>
    <w:r>
      <w:rPr>
        <w:szCs w:val="16"/>
      </w:rPr>
      <w:t>-</w:t>
    </w:r>
    <w:r w:rsidRPr="00245A46">
      <w:rPr>
        <w:szCs w:val="16"/>
      </w:rPr>
      <w:t xml:space="preserve"> </w:t>
    </w:r>
    <w:r w:rsidR="003A4329" w:rsidRPr="003A4329">
      <w:rPr>
        <w:szCs w:val="16"/>
      </w:rPr>
      <w:fldChar w:fldCharType="begin"/>
    </w:r>
    <w:r w:rsidR="003A4329" w:rsidRPr="003A4329">
      <w:rPr>
        <w:szCs w:val="16"/>
      </w:rPr>
      <w:instrText xml:space="preserve"> PAGE   \* MERGEFORMAT </w:instrText>
    </w:r>
    <w:r w:rsidR="003A4329" w:rsidRPr="003A4329">
      <w:rPr>
        <w:szCs w:val="16"/>
      </w:rPr>
      <w:fldChar w:fldCharType="separate"/>
    </w:r>
    <w:r w:rsidR="003A4329" w:rsidRPr="003A4329">
      <w:rPr>
        <w:noProof/>
        <w:szCs w:val="16"/>
      </w:rPr>
      <w:t>1</w:t>
    </w:r>
    <w:r w:rsidR="003A4329" w:rsidRPr="003A4329">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28DF9" w14:textId="77777777" w:rsidR="00433C06" w:rsidRDefault="00433C06">
    <w:pPr>
      <w:pStyle w:val="Footer"/>
      <w:rPr>
        <w:rFonts w:asciiTheme="minorHAnsi" w:hAnsiTheme="minorHAnsi"/>
        <w:caps w:val="0"/>
        <w:color w:val="auto"/>
        <w:sz w:val="20"/>
      </w:rPr>
    </w:pPr>
  </w:p>
  <w:p w14:paraId="440D8B4F" w14:textId="77777777" w:rsidR="00D407A5" w:rsidRDefault="00D4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DC528" w14:textId="77777777" w:rsidR="00BF0258" w:rsidRDefault="00BF0258" w:rsidP="002A6A89">
      <w:pPr>
        <w:spacing w:after="0" w:line="240" w:lineRule="auto"/>
      </w:pPr>
      <w:r>
        <w:separator/>
      </w:r>
    </w:p>
  </w:footnote>
  <w:footnote w:type="continuationSeparator" w:id="0">
    <w:p w14:paraId="4436D2BD" w14:textId="77777777" w:rsidR="00BF0258" w:rsidRDefault="00BF0258" w:rsidP="002A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2E3DA" w14:textId="77777777" w:rsidR="00BF0258" w:rsidRDefault="00BF0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C1563" w14:textId="77777777" w:rsidR="00BF0258" w:rsidRDefault="00BF02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DA5E7" w14:textId="77777777" w:rsidR="00421A4C" w:rsidRPr="00530969" w:rsidRDefault="007D19C9" w:rsidP="00530969">
    <w:r>
      <w:rPr>
        <w:noProof/>
      </w:rPr>
      <w:drawing>
        <wp:anchor distT="0" distB="0" distL="114300" distR="114300" simplePos="0" relativeHeight="251658240" behindDoc="1" locked="0" layoutInCell="1" allowOverlap="1" wp14:anchorId="571D4240" wp14:editId="188382FE">
          <wp:simplePos x="0" y="0"/>
          <wp:positionH relativeFrom="page">
            <wp:align>center</wp:align>
          </wp:positionH>
          <wp:positionV relativeFrom="page">
            <wp:align>bottom</wp:align>
          </wp:positionV>
          <wp:extent cx="7560000" cy="1004400"/>
          <wp:effectExtent l="0" t="0" r="3175" b="5715"/>
          <wp:wrapNone/>
          <wp:docPr id="4" name="Picture 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ka-Kotahi-brand-footer-A4-portrait.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A4076E9"/>
    <w:multiLevelType w:val="hybridMultilevel"/>
    <w:tmpl w:val="1DBE8C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BDC6494"/>
    <w:multiLevelType w:val="hybridMultilevel"/>
    <w:tmpl w:val="99C484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DD74983"/>
    <w:multiLevelType w:val="hybridMultilevel"/>
    <w:tmpl w:val="F9B64A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306336F"/>
    <w:multiLevelType w:val="hybridMultilevel"/>
    <w:tmpl w:val="D334081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2"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7815674"/>
    <w:multiLevelType w:val="hybridMultilevel"/>
    <w:tmpl w:val="BA609F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6"/>
  </w:num>
  <w:num w:numId="4">
    <w:abstractNumId w:val="4"/>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abstractNumId w:val="13"/>
  </w:num>
  <w:num w:numId="9">
    <w:abstractNumId w:val="13"/>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abstractNumId w:val="3"/>
  </w:num>
  <w:num w:numId="11">
    <w:abstractNumId w:val="1"/>
  </w:num>
  <w:num w:numId="12">
    <w:abstractNumId w:val="0"/>
  </w:num>
  <w:num w:numId="13">
    <w:abstractNumId w:val="23"/>
  </w:num>
  <w:num w:numId="14">
    <w:abstractNumId w:val="13"/>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abstractNumId w:val="13"/>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9"/>
  </w:num>
  <w:num w:numId="24">
    <w:abstractNumId w:val="8"/>
  </w:num>
  <w:num w:numId="25">
    <w:abstractNumId w:val="17"/>
  </w:num>
  <w:num w:numId="26">
    <w:abstractNumId w:val="7"/>
  </w:num>
  <w:num w:numId="27">
    <w:abstractNumId w:val="10"/>
  </w:num>
  <w:num w:numId="28">
    <w:abstractNumId w:val="15"/>
  </w:num>
  <w:num w:numId="29">
    <w:abstractNumId w:val="16"/>
  </w:num>
  <w:num w:numId="30">
    <w:abstractNumId w:val="11"/>
  </w:num>
  <w:num w:numId="31">
    <w:abstractNumId w:val="14"/>
  </w:num>
  <w:num w:numId="32">
    <w:abstractNumId w:val="20"/>
  </w:num>
  <w:num w:numId="33">
    <w:abstractNumId w:val="24"/>
  </w:num>
  <w:num w:numId="34">
    <w:abstractNumId w:val="21"/>
  </w:num>
  <w:num w:numId="35">
    <w:abstractNumId w:val="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58"/>
    <w:rsid w:val="00032023"/>
    <w:rsid w:val="000369F7"/>
    <w:rsid w:val="00057E8D"/>
    <w:rsid w:val="00061681"/>
    <w:rsid w:val="0007104C"/>
    <w:rsid w:val="00071EBA"/>
    <w:rsid w:val="00075EFB"/>
    <w:rsid w:val="000B3907"/>
    <w:rsid w:val="000C07B0"/>
    <w:rsid w:val="000D11A6"/>
    <w:rsid w:val="000E379C"/>
    <w:rsid w:val="000F6BA7"/>
    <w:rsid w:val="001041D9"/>
    <w:rsid w:val="00114219"/>
    <w:rsid w:val="0011760D"/>
    <w:rsid w:val="00143D5E"/>
    <w:rsid w:val="001539FD"/>
    <w:rsid w:val="00157021"/>
    <w:rsid w:val="00160D68"/>
    <w:rsid w:val="00161990"/>
    <w:rsid w:val="00170237"/>
    <w:rsid w:val="00175395"/>
    <w:rsid w:val="001D4826"/>
    <w:rsid w:val="001E4B69"/>
    <w:rsid w:val="002033EC"/>
    <w:rsid w:val="00205682"/>
    <w:rsid w:val="0022027D"/>
    <w:rsid w:val="00220D34"/>
    <w:rsid w:val="00250E0A"/>
    <w:rsid w:val="00252190"/>
    <w:rsid w:val="00271364"/>
    <w:rsid w:val="00282532"/>
    <w:rsid w:val="002A6A89"/>
    <w:rsid w:val="002B3B43"/>
    <w:rsid w:val="002D125C"/>
    <w:rsid w:val="002D6577"/>
    <w:rsid w:val="002E2A7B"/>
    <w:rsid w:val="002F7BBD"/>
    <w:rsid w:val="00314449"/>
    <w:rsid w:val="00345B39"/>
    <w:rsid w:val="00360B43"/>
    <w:rsid w:val="0037314E"/>
    <w:rsid w:val="003A4329"/>
    <w:rsid w:val="003B54C2"/>
    <w:rsid w:val="003D301D"/>
    <w:rsid w:val="003D4CFB"/>
    <w:rsid w:val="003D6BE2"/>
    <w:rsid w:val="003E3679"/>
    <w:rsid w:val="003E4B07"/>
    <w:rsid w:val="00420732"/>
    <w:rsid w:val="00421A4C"/>
    <w:rsid w:val="004278A7"/>
    <w:rsid w:val="00433C06"/>
    <w:rsid w:val="00441B3A"/>
    <w:rsid w:val="00445524"/>
    <w:rsid w:val="004539A2"/>
    <w:rsid w:val="00492A50"/>
    <w:rsid w:val="004A2385"/>
    <w:rsid w:val="004C22F2"/>
    <w:rsid w:val="00501B1F"/>
    <w:rsid w:val="005146DA"/>
    <w:rsid w:val="0052688D"/>
    <w:rsid w:val="00530969"/>
    <w:rsid w:val="005312E8"/>
    <w:rsid w:val="0053688C"/>
    <w:rsid w:val="00554EAE"/>
    <w:rsid w:val="00555626"/>
    <w:rsid w:val="00560868"/>
    <w:rsid w:val="005C1265"/>
    <w:rsid w:val="005E6C6B"/>
    <w:rsid w:val="00611D2D"/>
    <w:rsid w:val="00622FD7"/>
    <w:rsid w:val="0063211C"/>
    <w:rsid w:val="0063291E"/>
    <w:rsid w:val="00642EFA"/>
    <w:rsid w:val="006513AD"/>
    <w:rsid w:val="006731F4"/>
    <w:rsid w:val="0068222C"/>
    <w:rsid w:val="00682854"/>
    <w:rsid w:val="006B15D1"/>
    <w:rsid w:val="006F322A"/>
    <w:rsid w:val="006F6B0A"/>
    <w:rsid w:val="00704BD7"/>
    <w:rsid w:val="0071500D"/>
    <w:rsid w:val="00724A09"/>
    <w:rsid w:val="00740520"/>
    <w:rsid w:val="007405EB"/>
    <w:rsid w:val="0075036F"/>
    <w:rsid w:val="00762D08"/>
    <w:rsid w:val="00787356"/>
    <w:rsid w:val="00793A49"/>
    <w:rsid w:val="007B12EE"/>
    <w:rsid w:val="007C4A95"/>
    <w:rsid w:val="007C7065"/>
    <w:rsid w:val="007D19C9"/>
    <w:rsid w:val="007F6D21"/>
    <w:rsid w:val="007F7BA5"/>
    <w:rsid w:val="00801544"/>
    <w:rsid w:val="00814509"/>
    <w:rsid w:val="008629B5"/>
    <w:rsid w:val="00865866"/>
    <w:rsid w:val="008901D5"/>
    <w:rsid w:val="00891102"/>
    <w:rsid w:val="008A4704"/>
    <w:rsid w:val="008C496A"/>
    <w:rsid w:val="008E7C8B"/>
    <w:rsid w:val="00902184"/>
    <w:rsid w:val="009245CA"/>
    <w:rsid w:val="00937E11"/>
    <w:rsid w:val="009638D6"/>
    <w:rsid w:val="0097314A"/>
    <w:rsid w:val="00975C54"/>
    <w:rsid w:val="0098231E"/>
    <w:rsid w:val="0098652C"/>
    <w:rsid w:val="009921D4"/>
    <w:rsid w:val="009A2471"/>
    <w:rsid w:val="009A6D46"/>
    <w:rsid w:val="009D1292"/>
    <w:rsid w:val="009F2104"/>
    <w:rsid w:val="009F6CB9"/>
    <w:rsid w:val="00A20E45"/>
    <w:rsid w:val="00A23B6D"/>
    <w:rsid w:val="00A453DB"/>
    <w:rsid w:val="00A4593F"/>
    <w:rsid w:val="00A57102"/>
    <w:rsid w:val="00A63EC0"/>
    <w:rsid w:val="00A7304E"/>
    <w:rsid w:val="00A90AAE"/>
    <w:rsid w:val="00A92781"/>
    <w:rsid w:val="00A95F03"/>
    <w:rsid w:val="00AA2086"/>
    <w:rsid w:val="00AB7D84"/>
    <w:rsid w:val="00AF7423"/>
    <w:rsid w:val="00B16546"/>
    <w:rsid w:val="00B3506C"/>
    <w:rsid w:val="00B47BF1"/>
    <w:rsid w:val="00B654B9"/>
    <w:rsid w:val="00B76535"/>
    <w:rsid w:val="00B76DC6"/>
    <w:rsid w:val="00B8003A"/>
    <w:rsid w:val="00B82A81"/>
    <w:rsid w:val="00B94B62"/>
    <w:rsid w:val="00BA5CB9"/>
    <w:rsid w:val="00BA6735"/>
    <w:rsid w:val="00BC7CAB"/>
    <w:rsid w:val="00BD221A"/>
    <w:rsid w:val="00BD5036"/>
    <w:rsid w:val="00BE2AC9"/>
    <w:rsid w:val="00BE5F44"/>
    <w:rsid w:val="00BF0258"/>
    <w:rsid w:val="00C071B5"/>
    <w:rsid w:val="00C17B90"/>
    <w:rsid w:val="00C23B00"/>
    <w:rsid w:val="00C352C3"/>
    <w:rsid w:val="00C36C01"/>
    <w:rsid w:val="00C52C74"/>
    <w:rsid w:val="00C57B16"/>
    <w:rsid w:val="00C70ED0"/>
    <w:rsid w:val="00C85E51"/>
    <w:rsid w:val="00CF1C79"/>
    <w:rsid w:val="00CF3575"/>
    <w:rsid w:val="00D02DD8"/>
    <w:rsid w:val="00D04A6B"/>
    <w:rsid w:val="00D14837"/>
    <w:rsid w:val="00D22A6C"/>
    <w:rsid w:val="00D314CC"/>
    <w:rsid w:val="00D407A5"/>
    <w:rsid w:val="00D44EA8"/>
    <w:rsid w:val="00D6650A"/>
    <w:rsid w:val="00D92F9B"/>
    <w:rsid w:val="00DA4088"/>
    <w:rsid w:val="00DB201A"/>
    <w:rsid w:val="00DB35AA"/>
    <w:rsid w:val="00DC7CEC"/>
    <w:rsid w:val="00DD0075"/>
    <w:rsid w:val="00DE2F3D"/>
    <w:rsid w:val="00DF3D33"/>
    <w:rsid w:val="00E36BD0"/>
    <w:rsid w:val="00E833C9"/>
    <w:rsid w:val="00EE0856"/>
    <w:rsid w:val="00EE10DC"/>
    <w:rsid w:val="00EE5963"/>
    <w:rsid w:val="00EE6355"/>
    <w:rsid w:val="00F02999"/>
    <w:rsid w:val="00F04283"/>
    <w:rsid w:val="00F269F2"/>
    <w:rsid w:val="00F313FA"/>
    <w:rsid w:val="00F3271F"/>
    <w:rsid w:val="00F45CB1"/>
    <w:rsid w:val="00F715D1"/>
    <w:rsid w:val="00F720A0"/>
    <w:rsid w:val="00F74EEC"/>
    <w:rsid w:val="00F814E9"/>
    <w:rsid w:val="00F86D0D"/>
    <w:rsid w:val="00F974D1"/>
    <w:rsid w:val="00FA0E71"/>
    <w:rsid w:val="00FA5C85"/>
    <w:rsid w:val="00FA6960"/>
    <w:rsid w:val="00FB133E"/>
    <w:rsid w:val="00FD0C87"/>
    <w:rsid w:val="00FD3387"/>
    <w:rsid w:val="00FD7252"/>
    <w:rsid w:val="00FE0BC0"/>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FA900D"/>
  <w15:docId w15:val="{A55F23F7-506F-4AE7-8479-4143845C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104"/>
    <w:pPr>
      <w:spacing w:line="264" w:lineRule="auto"/>
    </w:pPr>
  </w:style>
  <w:style w:type="paragraph" w:styleId="Heading1">
    <w:name w:val="heading 1"/>
    <w:basedOn w:val="Normal"/>
    <w:next w:val="Normal"/>
    <w:link w:val="Heading1Char"/>
    <w:uiPriority w:val="5"/>
    <w:qFormat/>
    <w:rsid w:val="009F2104"/>
    <w:pPr>
      <w:keepNext/>
      <w:keepLines/>
      <w:spacing w:before="240"/>
      <w:outlineLvl w:val="0"/>
    </w:pPr>
    <w:rPr>
      <w:rFonts w:asciiTheme="majorHAnsi" w:eastAsiaTheme="majorEastAsia" w:hAnsiTheme="majorHAnsi" w:cstheme="majorBidi"/>
      <w:b/>
      <w:color w:val="006FB8"/>
      <w:sz w:val="36"/>
      <w:szCs w:val="36"/>
    </w:rPr>
  </w:style>
  <w:style w:type="paragraph" w:styleId="Heading2">
    <w:name w:val="heading 2"/>
    <w:basedOn w:val="Normal"/>
    <w:next w:val="Normal"/>
    <w:link w:val="Heading2Char"/>
    <w:uiPriority w:val="5"/>
    <w:unhideWhenUsed/>
    <w:qFormat/>
    <w:rsid w:val="009F2104"/>
    <w:pPr>
      <w:keepNext/>
      <w:keepLines/>
      <w:spacing w:before="240"/>
      <w:outlineLvl w:val="1"/>
    </w:pPr>
    <w:rPr>
      <w:rFonts w:asciiTheme="majorHAnsi" w:eastAsiaTheme="majorEastAsia" w:hAnsiTheme="majorHAnsi" w:cstheme="majorBidi"/>
      <w:b/>
      <w:color w:val="006FB8"/>
      <w:sz w:val="28"/>
      <w:szCs w:val="26"/>
    </w:rPr>
  </w:style>
  <w:style w:type="paragraph" w:styleId="Heading3">
    <w:name w:val="heading 3"/>
    <w:basedOn w:val="Normal"/>
    <w:next w:val="Normal"/>
    <w:link w:val="Heading3Char"/>
    <w:uiPriority w:val="5"/>
    <w:unhideWhenUsed/>
    <w:qFormat/>
    <w:rsid w:val="009F2104"/>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rsid w:val="009F21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2104"/>
  </w:style>
  <w:style w:type="table" w:customStyle="1" w:styleId="ListTable3-Accent11">
    <w:name w:val="List Table 3 - Accent 11"/>
    <w:basedOn w:val="TableNormal"/>
    <w:next w:val="ListTable3-Accent1"/>
    <w:uiPriority w:val="48"/>
    <w:rsid w:val="009F2104"/>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9F2104"/>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9F2104"/>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9F2104"/>
    <w:pPr>
      <w:numPr>
        <w:numId w:val="1"/>
      </w:numPr>
      <w:contextualSpacing/>
    </w:pPr>
  </w:style>
  <w:style w:type="paragraph" w:styleId="Header">
    <w:name w:val="header"/>
    <w:basedOn w:val="Normal"/>
    <w:link w:val="HeaderChar"/>
    <w:uiPriority w:val="99"/>
    <w:unhideWhenUsed/>
    <w:rsid w:val="009F2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104"/>
  </w:style>
  <w:style w:type="paragraph" w:styleId="Footer">
    <w:name w:val="footer"/>
    <w:basedOn w:val="Normal"/>
    <w:link w:val="FooterChar"/>
    <w:uiPriority w:val="98"/>
    <w:unhideWhenUsed/>
    <w:rsid w:val="009F2104"/>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9F2104"/>
    <w:rPr>
      <w:rFonts w:ascii="Arial" w:hAnsi="Arial"/>
      <w:caps/>
      <w:color w:val="2575AE" w:themeColor="accent1"/>
      <w:sz w:val="16"/>
    </w:rPr>
  </w:style>
  <w:style w:type="paragraph" w:styleId="Title">
    <w:name w:val="Title"/>
    <w:basedOn w:val="Normal"/>
    <w:next w:val="Normal"/>
    <w:link w:val="TitleChar"/>
    <w:uiPriority w:val="4"/>
    <w:qFormat/>
    <w:rsid w:val="009F2104"/>
    <w:pPr>
      <w:spacing w:before="240"/>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9F2104"/>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9F2104"/>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9F2104"/>
    <w:rPr>
      <w:rFonts w:eastAsiaTheme="minorEastAsia"/>
      <w:color w:val="2575AE" w:themeColor="accent1"/>
      <w:sz w:val="32"/>
      <w:szCs w:val="32"/>
    </w:rPr>
  </w:style>
  <w:style w:type="paragraph" w:customStyle="1" w:styleId="Details">
    <w:name w:val="Details"/>
    <w:basedOn w:val="Normal"/>
    <w:uiPriority w:val="97"/>
    <w:qFormat/>
    <w:rsid w:val="009F2104"/>
    <w:rPr>
      <w:color w:val="19456B" w:themeColor="background2"/>
    </w:rPr>
  </w:style>
  <w:style w:type="character" w:styleId="Hyperlink">
    <w:name w:val="Hyperlink"/>
    <w:basedOn w:val="DefaultParagraphFont"/>
    <w:uiPriority w:val="99"/>
    <w:unhideWhenUsed/>
    <w:rsid w:val="009F2104"/>
    <w:rPr>
      <w:color w:val="0563C1" w:themeColor="hyperlink"/>
      <w:u w:val="single"/>
    </w:rPr>
  </w:style>
  <w:style w:type="character" w:customStyle="1" w:styleId="Heading1Char">
    <w:name w:val="Heading 1 Char"/>
    <w:basedOn w:val="DefaultParagraphFont"/>
    <w:link w:val="Heading1"/>
    <w:uiPriority w:val="5"/>
    <w:rsid w:val="009F2104"/>
    <w:rPr>
      <w:rFonts w:asciiTheme="majorHAnsi" w:eastAsiaTheme="majorEastAsia" w:hAnsiTheme="majorHAnsi" w:cstheme="majorBidi"/>
      <w:b/>
      <w:color w:val="006FB8"/>
      <w:sz w:val="36"/>
      <w:szCs w:val="36"/>
    </w:rPr>
  </w:style>
  <w:style w:type="paragraph" w:styleId="TOC9">
    <w:name w:val="toc 9"/>
    <w:basedOn w:val="Normal"/>
    <w:next w:val="Normal"/>
    <w:autoRedefine/>
    <w:uiPriority w:val="39"/>
    <w:semiHidden/>
    <w:unhideWhenUsed/>
    <w:rsid w:val="009F2104"/>
    <w:pPr>
      <w:spacing w:after="100"/>
      <w:ind w:left="1600"/>
    </w:pPr>
  </w:style>
  <w:style w:type="character" w:customStyle="1" w:styleId="Heading2Char">
    <w:name w:val="Heading 2 Char"/>
    <w:basedOn w:val="DefaultParagraphFont"/>
    <w:link w:val="Heading2"/>
    <w:uiPriority w:val="5"/>
    <w:rsid w:val="009F2104"/>
    <w:rPr>
      <w:rFonts w:asciiTheme="majorHAnsi" w:eastAsiaTheme="majorEastAsia" w:hAnsiTheme="majorHAnsi" w:cstheme="majorBidi"/>
      <w:b/>
      <w:color w:val="006FB8"/>
      <w:sz w:val="28"/>
      <w:szCs w:val="26"/>
    </w:rPr>
  </w:style>
  <w:style w:type="character" w:customStyle="1" w:styleId="Heading3Char">
    <w:name w:val="Heading 3 Char"/>
    <w:basedOn w:val="DefaultParagraphFont"/>
    <w:link w:val="Heading3"/>
    <w:uiPriority w:val="5"/>
    <w:rsid w:val="009F2104"/>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9F2104"/>
    <w:pPr>
      <w:tabs>
        <w:tab w:val="right" w:leader="dot" w:pos="8778"/>
      </w:tabs>
      <w:spacing w:after="100"/>
    </w:pPr>
    <w:rPr>
      <w:caps/>
      <w:noProof/>
      <w:color w:val="19456B" w:themeColor="background2"/>
    </w:rPr>
  </w:style>
  <w:style w:type="paragraph" w:styleId="TOCHeading">
    <w:name w:val="TOC Heading"/>
    <w:basedOn w:val="Heading1"/>
    <w:next w:val="Normal"/>
    <w:uiPriority w:val="39"/>
    <w:unhideWhenUsed/>
    <w:qFormat/>
    <w:rsid w:val="009F2104"/>
    <w:pPr>
      <w:outlineLvl w:val="9"/>
    </w:pPr>
    <w:rPr>
      <w:color w:val="19456B" w:themeColor="background2"/>
      <w:sz w:val="20"/>
      <w:lang w:val="en-US"/>
    </w:rPr>
  </w:style>
  <w:style w:type="paragraph" w:styleId="ListParagraph">
    <w:name w:val="List Paragraph"/>
    <w:basedOn w:val="Normal"/>
    <w:uiPriority w:val="34"/>
    <w:qFormat/>
    <w:rsid w:val="009F2104"/>
    <w:pPr>
      <w:ind w:left="720"/>
      <w:contextualSpacing/>
    </w:pPr>
  </w:style>
  <w:style w:type="paragraph" w:styleId="List">
    <w:name w:val="List"/>
    <w:basedOn w:val="Normal"/>
    <w:uiPriority w:val="99"/>
    <w:semiHidden/>
    <w:rsid w:val="009F2104"/>
    <w:pPr>
      <w:numPr>
        <w:numId w:val="16"/>
      </w:numPr>
    </w:pPr>
  </w:style>
  <w:style w:type="paragraph" w:styleId="List2">
    <w:name w:val="List 2"/>
    <w:basedOn w:val="Normal"/>
    <w:uiPriority w:val="7"/>
    <w:rsid w:val="009F2104"/>
    <w:pPr>
      <w:numPr>
        <w:ilvl w:val="1"/>
        <w:numId w:val="16"/>
      </w:numPr>
    </w:pPr>
  </w:style>
  <w:style w:type="paragraph" w:styleId="ListBullet">
    <w:name w:val="List Bullet"/>
    <w:basedOn w:val="Normal"/>
    <w:uiPriority w:val="7"/>
    <w:rsid w:val="009F2104"/>
    <w:pPr>
      <w:numPr>
        <w:numId w:val="4"/>
      </w:numPr>
      <w:tabs>
        <w:tab w:val="clear" w:pos="360"/>
      </w:tabs>
      <w:ind w:left="284" w:hanging="284"/>
    </w:pPr>
  </w:style>
  <w:style w:type="paragraph" w:styleId="ListBullet2">
    <w:name w:val="List Bullet 2"/>
    <w:basedOn w:val="Normal"/>
    <w:uiPriority w:val="7"/>
    <w:rsid w:val="009F2104"/>
    <w:pPr>
      <w:numPr>
        <w:numId w:val="5"/>
      </w:numPr>
      <w:ind w:left="567" w:hanging="283"/>
    </w:pPr>
  </w:style>
  <w:style w:type="table" w:styleId="TableGrid">
    <w:name w:val="Table Grid"/>
    <w:basedOn w:val="TableNormal"/>
    <w:uiPriority w:val="39"/>
    <w:rsid w:val="009F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9F2104"/>
    <w:pPr>
      <w:pBdr>
        <w:left w:val="single" w:sz="4" w:space="15" w:color="2575AE" w:themeColor="accent1"/>
      </w:pBdr>
      <w:spacing w:line="264" w:lineRule="auto"/>
      <w:ind w:left="227" w:right="2268"/>
    </w:pPr>
    <w:rPr>
      <w:color w:val="2575AE" w:themeColor="accent1"/>
    </w:rPr>
  </w:style>
  <w:style w:type="paragraph" w:customStyle="1" w:styleId="GreenTextIndent">
    <w:name w:val="Green Text Indent"/>
    <w:uiPriority w:val="4"/>
    <w:rsid w:val="009F2104"/>
    <w:pPr>
      <w:pBdr>
        <w:left w:val="single" w:sz="4" w:space="15" w:color="AFBD22" w:themeColor="text2"/>
      </w:pBdr>
      <w:spacing w:line="264" w:lineRule="auto"/>
      <w:ind w:left="227" w:right="2268"/>
    </w:pPr>
    <w:rPr>
      <w:color w:val="AFBD22" w:themeColor="text2"/>
    </w:rPr>
  </w:style>
  <w:style w:type="character" w:styleId="PlaceholderText">
    <w:name w:val="Placeholder Text"/>
    <w:basedOn w:val="DefaultParagraphFont"/>
    <w:uiPriority w:val="99"/>
    <w:semiHidden/>
    <w:rsid w:val="009F2104"/>
    <w:rPr>
      <w:color w:val="808080"/>
    </w:rPr>
  </w:style>
  <w:style w:type="table" w:customStyle="1" w:styleId="TableGridLight1">
    <w:name w:val="Table Grid Light1"/>
    <w:basedOn w:val="TableNormal"/>
    <w:uiPriority w:val="40"/>
    <w:rsid w:val="009F2104"/>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9F2104"/>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9F2104"/>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9F2104"/>
    <w:pPr>
      <w:numPr>
        <w:ilvl w:val="2"/>
        <w:numId w:val="13"/>
      </w:numPr>
      <w:spacing w:before="240"/>
      <w:contextualSpacing/>
    </w:pPr>
    <w:rPr>
      <w:b/>
    </w:rPr>
  </w:style>
  <w:style w:type="paragraph" w:styleId="TOC2">
    <w:name w:val="toc 2"/>
    <w:basedOn w:val="Normal"/>
    <w:next w:val="Normal"/>
    <w:autoRedefine/>
    <w:uiPriority w:val="39"/>
    <w:unhideWhenUsed/>
    <w:rsid w:val="009F2104"/>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9F2104"/>
    <w:pPr>
      <w:spacing w:after="100"/>
      <w:ind w:left="400"/>
    </w:pPr>
  </w:style>
  <w:style w:type="paragraph" w:styleId="NoSpacing">
    <w:name w:val="No Spacing"/>
    <w:uiPriority w:val="1"/>
    <w:qFormat/>
    <w:rsid w:val="009F2104"/>
    <w:pPr>
      <w:spacing w:after="0" w:line="240" w:lineRule="auto"/>
    </w:pPr>
  </w:style>
  <w:style w:type="paragraph" w:customStyle="1" w:styleId="InformationPageNormal">
    <w:name w:val="Information Page Normal"/>
    <w:uiPriority w:val="1"/>
    <w:qFormat/>
    <w:rsid w:val="009F2104"/>
    <w:pPr>
      <w:ind w:right="-1418"/>
    </w:pPr>
  </w:style>
  <w:style w:type="paragraph" w:customStyle="1" w:styleId="ListNumbering">
    <w:name w:val="List Numbering"/>
    <w:basedOn w:val="ListBullet"/>
    <w:uiPriority w:val="6"/>
    <w:qFormat/>
    <w:rsid w:val="009F2104"/>
    <w:pPr>
      <w:numPr>
        <w:numId w:val="23"/>
      </w:numPr>
    </w:pPr>
  </w:style>
  <w:style w:type="paragraph" w:styleId="BalloonText">
    <w:name w:val="Balloon Text"/>
    <w:basedOn w:val="Normal"/>
    <w:link w:val="BalloonTextChar"/>
    <w:uiPriority w:val="99"/>
    <w:semiHidden/>
    <w:unhideWhenUsed/>
    <w:rsid w:val="009F2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104"/>
    <w:rPr>
      <w:rFonts w:ascii="Tahoma" w:hAnsi="Tahoma" w:cs="Tahoma"/>
      <w:sz w:val="16"/>
      <w:szCs w:val="16"/>
    </w:rPr>
  </w:style>
  <w:style w:type="table" w:customStyle="1" w:styleId="GridTableLight1">
    <w:name w:val="Grid Table Light1"/>
    <w:basedOn w:val="TableNormal"/>
    <w:uiPriority w:val="40"/>
    <w:rsid w:val="009F2104"/>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9F2104"/>
    <w:pPr>
      <w:tabs>
        <w:tab w:val="left" w:pos="924"/>
      </w:tabs>
      <w:spacing w:before="60" w:after="60" w:line="260" w:lineRule="atLeast"/>
    </w:pPr>
    <w:rPr>
      <w:rFonts w:eastAsia="Times New Roman" w:cs="Times New Roman"/>
      <w:szCs w:val="24"/>
      <w:lang w:eastAsia="en-GB"/>
    </w:rPr>
  </w:style>
  <w:style w:type="character" w:customStyle="1" w:styleId="manualtabletextCharChar">
    <w:name w:val="manual table text Char Char"/>
    <w:link w:val="manualtabletext"/>
    <w:rsid w:val="009F2104"/>
    <w:rPr>
      <w:rFonts w:eastAsia="Times New Roman" w:cs="Times New Roman"/>
      <w:szCs w:val="24"/>
      <w:lang w:eastAsia="en-GB"/>
    </w:rPr>
  </w:style>
  <w:style w:type="paragraph" w:customStyle="1" w:styleId="Contactinfo">
    <w:name w:val="Contact info"/>
    <w:basedOn w:val="Normal"/>
    <w:semiHidden/>
    <w:locked/>
    <w:rsid w:val="009F2104"/>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9F2104"/>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9F2104"/>
    <w:pPr>
      <w:spacing w:after="0" w:line="240" w:lineRule="auto"/>
    </w:pPr>
  </w:style>
  <w:style w:type="character" w:customStyle="1" w:styleId="FootnoteTextChar">
    <w:name w:val="Footnote Text Char"/>
    <w:basedOn w:val="DefaultParagraphFont"/>
    <w:link w:val="FootnoteText"/>
    <w:uiPriority w:val="99"/>
    <w:semiHidden/>
    <w:rsid w:val="009F2104"/>
  </w:style>
  <w:style w:type="character" w:styleId="FootnoteReference">
    <w:name w:val="footnote reference"/>
    <w:basedOn w:val="DefaultParagraphFont"/>
    <w:uiPriority w:val="99"/>
    <w:semiHidden/>
    <w:unhideWhenUsed/>
    <w:rsid w:val="009F2104"/>
    <w:rPr>
      <w:vertAlign w:val="superscript"/>
    </w:rPr>
  </w:style>
  <w:style w:type="table" w:styleId="ListTable3-Accent1">
    <w:name w:val="List Table 3 Accent 1"/>
    <w:basedOn w:val="TableNormal"/>
    <w:uiPriority w:val="48"/>
    <w:rsid w:val="009F2104"/>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9F2104"/>
    <w:pPr>
      <w:spacing w:after="0" w:line="240" w:lineRule="auto"/>
    </w:pPr>
    <w:tblPr>
      <w:tblCellMar>
        <w:left w:w="0" w:type="dxa"/>
        <w:right w:w="0" w:type="dxa"/>
      </w:tblCellMar>
    </w:tblPr>
    <w:tcPr>
      <w:shd w:val="clear" w:color="auto" w:fill="auto"/>
    </w:tcPr>
  </w:style>
  <w:style w:type="paragraph" w:customStyle="1" w:styleId="Footer2">
    <w:name w:val="Footer 2"/>
    <w:basedOn w:val="Normal"/>
    <w:link w:val="Footer2Char"/>
    <w:qFormat/>
    <w:rsid w:val="009F2104"/>
    <w:rPr>
      <w:rFonts w:ascii="Arial" w:hAnsi="Arial"/>
      <w:color w:val="000000" w:themeColor="text1"/>
      <w:sz w:val="16"/>
    </w:rPr>
  </w:style>
  <w:style w:type="character" w:customStyle="1" w:styleId="Footer2Char">
    <w:name w:val="Footer 2 Char"/>
    <w:basedOn w:val="DefaultParagraphFont"/>
    <w:link w:val="Footer2"/>
    <w:rsid w:val="009F2104"/>
    <w:rPr>
      <w:rFonts w:ascii="Arial" w:hAnsi="Arial"/>
      <w:color w:val="000000" w:themeColor="text1"/>
      <w:sz w:val="16"/>
    </w:rPr>
  </w:style>
  <w:style w:type="character" w:styleId="UnresolvedMention">
    <w:name w:val="Unresolved Mention"/>
    <w:basedOn w:val="DefaultParagraphFont"/>
    <w:uiPriority w:val="99"/>
    <w:semiHidden/>
    <w:unhideWhenUsed/>
    <w:rsid w:val="009F2104"/>
    <w:rPr>
      <w:color w:val="605E5C"/>
      <w:shd w:val="clear" w:color="auto" w:fill="E1DFDD"/>
    </w:rPr>
  </w:style>
  <w:style w:type="character" w:styleId="SubtleReference">
    <w:name w:val="Subtle Reference"/>
    <w:basedOn w:val="DefaultParagraphFont"/>
    <w:uiPriority w:val="31"/>
    <w:qFormat/>
    <w:rsid w:val="009F2104"/>
    <w:rPr>
      <w:caps w:val="0"/>
      <w:smallCaps w:val="0"/>
      <w:color w:val="5A5A5A" w:themeColor="text1" w:themeTint="A5"/>
    </w:rPr>
  </w:style>
  <w:style w:type="character" w:styleId="IntenseReference">
    <w:name w:val="Intense Reference"/>
    <w:basedOn w:val="DefaultParagraphFont"/>
    <w:uiPriority w:val="32"/>
    <w:qFormat/>
    <w:rsid w:val="009F2104"/>
    <w:rPr>
      <w:b/>
      <w:bCs/>
      <w:caps w:val="0"/>
      <w:smallCaps w:val="0"/>
      <w:color w:val="2575AE" w:themeColor="accent1"/>
      <w:spacing w:val="5"/>
    </w:rPr>
  </w:style>
  <w:style w:type="character" w:styleId="IntenseEmphasis">
    <w:name w:val="Intense Emphasis"/>
    <w:basedOn w:val="DefaultParagraphFont"/>
    <w:uiPriority w:val="21"/>
    <w:qFormat/>
    <w:rsid w:val="009F2104"/>
    <w:rPr>
      <w:i/>
      <w:iCs/>
      <w:color w:val="2575A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safe.govt.nz/managing-health-and-safety/managing-risks/how-to-manage-work-risks/" TargetMode="External"/><Relationship Id="rId13" Type="http://schemas.openxmlformats.org/officeDocument/2006/relationships/hyperlink" Target="https://www.worksafe.govt.nz/topic-and-industry/vehicles-and-mobile-plant/site-traffic-management/managing-work-site-traffic-gp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orksafe.govt.n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safe.govt.nz/managing-health-and-safety/getting-started/understanding-the-law/overlapping-duties/overlapping-duties-quick-guid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orksafe.govt.nz/managing-health-and-safety/getting-started/understanding-the-law/overlapping-duties/pcbus-working-together-advice-when-contractin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orksafe.govt.nz/topic-and-industry/manufacturing/traffic-management-manufacturing/" TargetMode="External"/><Relationship Id="rId14" Type="http://schemas.openxmlformats.org/officeDocument/2006/relationships/hyperlink" Target="https://www.safeworkaustralia.gov.au/doc/workplace-traffic-management-guidance-material"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an.net.nz\NETLOGON\W10_Templates\Waka%20Kotahi%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C37EE0DDED4E909C0BC696183B0425"/>
        <w:category>
          <w:name w:val="General"/>
          <w:gallery w:val="placeholder"/>
        </w:category>
        <w:types>
          <w:type w:val="bbPlcHdr"/>
        </w:types>
        <w:behaviors>
          <w:behavior w:val="content"/>
        </w:behaviors>
        <w:guid w:val="{16032204-6D29-4FB3-8F4B-9E44C595653E}"/>
      </w:docPartPr>
      <w:docPartBody>
        <w:p w:rsidR="00362AC4" w:rsidRDefault="00362AC4">
          <w:pPr>
            <w:pStyle w:val="BDC37EE0DDED4E909C0BC696183B0425"/>
          </w:pPr>
          <w:r w:rsidRPr="002D125C">
            <w:rPr>
              <w:rStyle w:val="PlaceholderText"/>
            </w:rPr>
            <w:t>DOCUMENT TITLE</w:t>
          </w:r>
        </w:p>
      </w:docPartBody>
    </w:docPart>
    <w:docPart>
      <w:docPartPr>
        <w:name w:val="5BA263040DC043878AFD52EAC20406FA"/>
        <w:category>
          <w:name w:val="General"/>
          <w:gallery w:val="placeholder"/>
        </w:category>
        <w:types>
          <w:type w:val="bbPlcHdr"/>
        </w:types>
        <w:behaviors>
          <w:behavior w:val="content"/>
        </w:behaviors>
        <w:guid w:val="{F328655F-C246-4762-B3BB-FADF8C029ADE}"/>
      </w:docPartPr>
      <w:docPartBody>
        <w:p w:rsidR="00362AC4" w:rsidRDefault="00362AC4">
          <w:pPr>
            <w:pStyle w:val="5BA263040DC043878AFD52EAC20406FA"/>
          </w:pPr>
          <w:r w:rsidRPr="005146DA">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C4"/>
    <w:rsid w:val="00362A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C37EE0DDED4E909C0BC696183B0425">
    <w:name w:val="BDC37EE0DDED4E909C0BC696183B0425"/>
  </w:style>
  <w:style w:type="paragraph" w:customStyle="1" w:styleId="A2E73DD2E7C3479B977E87F86F842FDA">
    <w:name w:val="A2E73DD2E7C3479B977E87F86F842FDA"/>
  </w:style>
  <w:style w:type="paragraph" w:customStyle="1" w:styleId="5BA263040DC043878AFD52EAC20406FA">
    <w:name w:val="5BA263040DC043878AFD52EAC20406FA"/>
  </w:style>
  <w:style w:type="paragraph" w:customStyle="1" w:styleId="A7212C53F77F42F8910F7250AB20C904">
    <w:name w:val="A7212C53F77F42F8910F7250AB20C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CBC7-CD66-4380-AF26-0DE07D3E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Waka Kotahi template.dotm</Template>
  <TotalTime>0</TotalTime>
  <Pages>2</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NZ Transport Agency</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safety health and safety guidelines for inspecting organisations and vehicle inspectors</dc:title>
  <dc:creator>Toby Bishop</dc:creator>
  <dc:description>Created by www.allfields.co.nz</dc:description>
  <cp:lastModifiedBy>Toby Bishop</cp:lastModifiedBy>
  <cp:revision>2</cp:revision>
  <dcterms:created xsi:type="dcterms:W3CDTF">2021-08-24T20:31:00Z</dcterms:created>
  <dcterms:modified xsi:type="dcterms:W3CDTF">2021-08-24T20:31:00Z</dcterms:modified>
</cp:coreProperties>
</file>